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49" w:rsidRPr="00980130" w:rsidRDefault="00364CE2" w:rsidP="00A72EA7">
      <w:pPr>
        <w:rPr>
          <w:b/>
          <w:sz w:val="32"/>
          <w:szCs w:val="32"/>
        </w:rPr>
      </w:pPr>
      <w:r w:rsidRPr="00980130">
        <w:rPr>
          <w:b/>
          <w:sz w:val="32"/>
          <w:szCs w:val="32"/>
        </w:rPr>
        <w:t>Assemblée générale</w:t>
      </w:r>
    </w:p>
    <w:p w:rsidR="00364CE2" w:rsidRPr="00364CE2" w:rsidRDefault="00980130" w:rsidP="00980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jeudi </w:t>
      </w:r>
      <w:r w:rsidR="00B42B2D">
        <w:rPr>
          <w:sz w:val="28"/>
          <w:szCs w:val="28"/>
        </w:rPr>
        <w:t>22 octobre 2020 via ZOOM 16h15</w:t>
      </w:r>
    </w:p>
    <w:p w:rsidR="00364CE2" w:rsidRDefault="00364CE2" w:rsidP="00364CE2">
      <w:pPr>
        <w:jc w:val="center"/>
        <w:rPr>
          <w:sz w:val="28"/>
          <w:szCs w:val="28"/>
        </w:rPr>
      </w:pPr>
      <w:r w:rsidRPr="00364CE2">
        <w:rPr>
          <w:sz w:val="28"/>
          <w:szCs w:val="28"/>
        </w:rPr>
        <w:t>Procès-verbal</w:t>
      </w:r>
    </w:p>
    <w:p w:rsidR="009A111D" w:rsidRDefault="009A111D" w:rsidP="00364CE2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9202"/>
      </w:tblGrid>
      <w:tr w:rsidR="009A111D" w:rsidTr="009A111D">
        <w:tc>
          <w:tcPr>
            <w:tcW w:w="9202" w:type="dxa"/>
            <w:shd w:val="clear" w:color="auto" w:fill="BDD6EE" w:themeFill="accent1" w:themeFillTint="66"/>
          </w:tcPr>
          <w:p w:rsidR="009A111D" w:rsidRDefault="009A111D" w:rsidP="0036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Présences</w:t>
            </w:r>
          </w:p>
        </w:tc>
      </w:tr>
      <w:tr w:rsidR="009A111D" w:rsidTr="009A111D">
        <w:tc>
          <w:tcPr>
            <w:tcW w:w="9202" w:type="dxa"/>
          </w:tcPr>
          <w:p w:rsidR="009A111D" w:rsidRPr="005B48E0" w:rsidRDefault="00391ED8" w:rsidP="00557D75">
            <w:pPr>
              <w:rPr>
                <w:b/>
                <w:sz w:val="28"/>
                <w:szCs w:val="28"/>
              </w:rPr>
            </w:pPr>
            <w:r w:rsidRPr="005B48E0">
              <w:rPr>
                <w:b/>
                <w:sz w:val="28"/>
                <w:szCs w:val="28"/>
              </w:rPr>
              <w:t>CSSD</w:t>
            </w:r>
            <w:r w:rsidR="005B48E0" w:rsidRPr="005B48E0">
              <w:rPr>
                <w:b/>
                <w:sz w:val="28"/>
                <w:szCs w:val="28"/>
              </w:rPr>
              <w:t xml:space="preserve"> (42)</w:t>
            </w:r>
          </w:p>
          <w:p w:rsidR="001C77CA" w:rsidRDefault="001C77CA" w:rsidP="0055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Nathalie Barbe, Marie-Josée Baril, Natalie Bertrand, </w:t>
            </w:r>
            <w:proofErr w:type="spellStart"/>
            <w:r>
              <w:rPr>
                <w:sz w:val="28"/>
                <w:szCs w:val="28"/>
              </w:rPr>
              <w:t>Véronic</w:t>
            </w:r>
            <w:proofErr w:type="spellEnd"/>
            <w:r>
              <w:rPr>
                <w:sz w:val="28"/>
                <w:szCs w:val="28"/>
              </w:rPr>
              <w:t xml:space="preserve"> Bisson</w:t>
            </w:r>
            <w:r w:rsidR="00A72EA7">
              <w:rPr>
                <w:sz w:val="28"/>
                <w:szCs w:val="28"/>
              </w:rPr>
              <w:t>, Zoé Charbonneau, Mélanie Char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ette, Patrick Chartrand, Patrick Courville, </w:t>
            </w:r>
            <w:r w:rsidR="002F0EF2">
              <w:rPr>
                <w:sz w:val="28"/>
                <w:szCs w:val="28"/>
              </w:rPr>
              <w:t xml:space="preserve">Sylvain Dault-Lagacé, Joanne Fournier, Carole </w:t>
            </w:r>
            <w:proofErr w:type="spellStart"/>
            <w:r w:rsidR="002F0EF2">
              <w:rPr>
                <w:sz w:val="28"/>
                <w:szCs w:val="28"/>
              </w:rPr>
              <w:t>Lafrance</w:t>
            </w:r>
            <w:proofErr w:type="spellEnd"/>
            <w:r w:rsidR="002F0EF2">
              <w:rPr>
                <w:sz w:val="28"/>
                <w:szCs w:val="28"/>
              </w:rPr>
              <w:t>, Marie-Line Lafl</w:t>
            </w:r>
            <w:r w:rsidR="00EA0E07">
              <w:rPr>
                <w:sz w:val="28"/>
                <w:szCs w:val="28"/>
              </w:rPr>
              <w:t xml:space="preserve">eur, </w:t>
            </w:r>
            <w:proofErr w:type="spellStart"/>
            <w:r w:rsidR="00EA0E07">
              <w:rPr>
                <w:sz w:val="28"/>
                <w:szCs w:val="28"/>
              </w:rPr>
              <w:t>Shari-Lynn</w:t>
            </w:r>
            <w:proofErr w:type="spellEnd"/>
            <w:r w:rsidR="00EA0E07">
              <w:rPr>
                <w:sz w:val="28"/>
                <w:szCs w:val="28"/>
              </w:rPr>
              <w:t xml:space="preserve"> Lalonde, Nancy L</w:t>
            </w:r>
            <w:r w:rsidR="002F0EF2">
              <w:rPr>
                <w:sz w:val="28"/>
                <w:szCs w:val="28"/>
              </w:rPr>
              <w:t xml:space="preserve">amothe, Manon </w:t>
            </w:r>
            <w:proofErr w:type="spellStart"/>
            <w:r w:rsidR="002F0EF2">
              <w:rPr>
                <w:sz w:val="28"/>
                <w:szCs w:val="28"/>
              </w:rPr>
              <w:t>Lapratte</w:t>
            </w:r>
            <w:proofErr w:type="spellEnd"/>
            <w:r w:rsidR="002F0EF2">
              <w:rPr>
                <w:sz w:val="28"/>
                <w:szCs w:val="28"/>
              </w:rPr>
              <w:t xml:space="preserve">, Annick Massie, Caroline matte, Mélanie Mercier, Jessika Morin-Néron, Karine Morissette, Lyne Normand, </w:t>
            </w:r>
            <w:proofErr w:type="spellStart"/>
            <w:r w:rsidR="002F0EF2">
              <w:rPr>
                <w:sz w:val="28"/>
                <w:szCs w:val="28"/>
              </w:rPr>
              <w:t>Juli</w:t>
            </w:r>
            <w:proofErr w:type="spellEnd"/>
            <w:r w:rsidR="002F0EF2">
              <w:rPr>
                <w:sz w:val="28"/>
                <w:szCs w:val="28"/>
              </w:rPr>
              <w:t xml:space="preserve"> Osborne, Denis Pacheco, Geneviève Paradis, </w:t>
            </w:r>
            <w:r w:rsidR="00DB54E8">
              <w:rPr>
                <w:sz w:val="28"/>
                <w:szCs w:val="28"/>
              </w:rPr>
              <w:t xml:space="preserve">Nathalie Perrier, Mélanie Plouffe, André Raymond, Geneviève Raymond, Isabelle Roy, Nathalie </w:t>
            </w:r>
            <w:proofErr w:type="spellStart"/>
            <w:r w:rsidR="00DB54E8">
              <w:rPr>
                <w:sz w:val="28"/>
                <w:szCs w:val="28"/>
              </w:rPr>
              <w:t>Trottier</w:t>
            </w:r>
            <w:proofErr w:type="spellEnd"/>
            <w:r w:rsidR="00DB54E8">
              <w:rPr>
                <w:sz w:val="28"/>
                <w:szCs w:val="28"/>
              </w:rPr>
              <w:t xml:space="preserve">, Nancy </w:t>
            </w:r>
            <w:proofErr w:type="spellStart"/>
            <w:r w:rsidR="00DB54E8">
              <w:rPr>
                <w:sz w:val="28"/>
                <w:szCs w:val="28"/>
              </w:rPr>
              <w:t>Vallerand</w:t>
            </w:r>
            <w:proofErr w:type="spellEnd"/>
            <w:r w:rsidR="00DB54E8">
              <w:rPr>
                <w:sz w:val="28"/>
                <w:szCs w:val="28"/>
              </w:rPr>
              <w:t xml:space="preserve">, Caroline </w:t>
            </w:r>
            <w:proofErr w:type="spellStart"/>
            <w:r w:rsidR="00DB54E8">
              <w:rPr>
                <w:sz w:val="28"/>
                <w:szCs w:val="28"/>
              </w:rPr>
              <w:t>Vallois</w:t>
            </w:r>
            <w:proofErr w:type="spellEnd"/>
            <w:r w:rsidR="00DB54E8">
              <w:rPr>
                <w:sz w:val="28"/>
                <w:szCs w:val="28"/>
              </w:rPr>
              <w:t xml:space="preserve">, Sylvie Farrell, </w:t>
            </w:r>
            <w:r w:rsidR="005B48E0">
              <w:rPr>
                <w:sz w:val="28"/>
                <w:szCs w:val="28"/>
              </w:rPr>
              <w:t xml:space="preserve">Véronique Daoust, Sonia Cloutier, Andrée Auger-Lafontaine, Martine Delisle, Julie </w:t>
            </w:r>
            <w:proofErr w:type="spellStart"/>
            <w:r w:rsidR="005B48E0">
              <w:rPr>
                <w:sz w:val="28"/>
                <w:szCs w:val="28"/>
              </w:rPr>
              <w:t>Lanthier</w:t>
            </w:r>
            <w:proofErr w:type="spellEnd"/>
            <w:r w:rsidR="005B48E0">
              <w:rPr>
                <w:sz w:val="28"/>
                <w:szCs w:val="28"/>
              </w:rPr>
              <w:t>, Judith Trudel, Julie Régimbald, Marco Champagne, Vicky Guay</w:t>
            </w:r>
          </w:p>
          <w:p w:rsidR="001C77CA" w:rsidRDefault="001C77CA" w:rsidP="00557D75">
            <w:pPr>
              <w:rPr>
                <w:sz w:val="28"/>
                <w:szCs w:val="28"/>
              </w:rPr>
            </w:pPr>
          </w:p>
        </w:tc>
      </w:tr>
      <w:tr w:rsidR="00391ED8" w:rsidRPr="001C77CA" w:rsidTr="009A111D">
        <w:tc>
          <w:tcPr>
            <w:tcW w:w="9202" w:type="dxa"/>
          </w:tcPr>
          <w:p w:rsidR="00391ED8" w:rsidRPr="001C77CA" w:rsidRDefault="00391ED8" w:rsidP="00557D75">
            <w:pPr>
              <w:rPr>
                <w:b/>
                <w:sz w:val="28"/>
                <w:szCs w:val="28"/>
              </w:rPr>
            </w:pPr>
            <w:r w:rsidRPr="001C77CA">
              <w:rPr>
                <w:b/>
                <w:sz w:val="28"/>
                <w:szCs w:val="28"/>
              </w:rPr>
              <w:t>CSSPO</w:t>
            </w:r>
            <w:r w:rsidR="001C77CA" w:rsidRPr="001C77CA">
              <w:rPr>
                <w:b/>
                <w:sz w:val="28"/>
                <w:szCs w:val="28"/>
              </w:rPr>
              <w:t xml:space="preserve"> (12)</w:t>
            </w:r>
          </w:p>
          <w:p w:rsidR="001C77CA" w:rsidRPr="001C77CA" w:rsidRDefault="001C77CA" w:rsidP="00557D75">
            <w:pPr>
              <w:rPr>
                <w:sz w:val="28"/>
                <w:szCs w:val="28"/>
              </w:rPr>
            </w:pPr>
            <w:r w:rsidRPr="001C77CA">
              <w:rPr>
                <w:sz w:val="28"/>
                <w:szCs w:val="28"/>
              </w:rPr>
              <w:t>Lynne Duval, Catherine Godin-Proulx, Vickie Gravelle, Mélanie Hall, Chantal L</w:t>
            </w:r>
            <w:r>
              <w:rPr>
                <w:sz w:val="28"/>
                <w:szCs w:val="28"/>
              </w:rPr>
              <w:t>aberge</w:t>
            </w:r>
            <w:r w:rsidRPr="001C77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Chantal Labelle</w:t>
            </w:r>
            <w:r w:rsidRPr="001C77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Lison Montambeault, Janick Paquin, Lynne Séguin, Inji Kamel, Kim Anne de Champlain, Céline Cyr</w:t>
            </w:r>
          </w:p>
          <w:p w:rsidR="001C77CA" w:rsidRPr="001C77CA" w:rsidRDefault="001C77CA" w:rsidP="00557D75">
            <w:pPr>
              <w:rPr>
                <w:sz w:val="28"/>
                <w:szCs w:val="28"/>
              </w:rPr>
            </w:pPr>
          </w:p>
        </w:tc>
      </w:tr>
      <w:tr w:rsidR="00391ED8" w:rsidTr="009A111D">
        <w:tc>
          <w:tcPr>
            <w:tcW w:w="9202" w:type="dxa"/>
          </w:tcPr>
          <w:p w:rsidR="00391ED8" w:rsidRPr="000D648B" w:rsidRDefault="00391ED8" w:rsidP="00557D75">
            <w:pPr>
              <w:rPr>
                <w:b/>
                <w:sz w:val="28"/>
                <w:szCs w:val="28"/>
              </w:rPr>
            </w:pPr>
            <w:r w:rsidRPr="000D648B">
              <w:rPr>
                <w:b/>
                <w:sz w:val="28"/>
                <w:szCs w:val="28"/>
              </w:rPr>
              <w:t>CSSHBO</w:t>
            </w:r>
            <w:r w:rsidR="005B48E0" w:rsidRPr="000D648B">
              <w:rPr>
                <w:b/>
                <w:sz w:val="28"/>
                <w:szCs w:val="28"/>
              </w:rPr>
              <w:t> </w:t>
            </w:r>
            <w:r w:rsidR="000D648B" w:rsidRPr="000D648B">
              <w:rPr>
                <w:b/>
                <w:sz w:val="28"/>
                <w:szCs w:val="28"/>
              </w:rPr>
              <w:t>(1)</w:t>
            </w:r>
          </w:p>
          <w:p w:rsidR="000D648B" w:rsidRDefault="000D648B" w:rsidP="0055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Gabie Paré</w:t>
            </w:r>
          </w:p>
        </w:tc>
      </w:tr>
      <w:tr w:rsidR="00391ED8" w:rsidTr="009A111D">
        <w:tc>
          <w:tcPr>
            <w:tcW w:w="9202" w:type="dxa"/>
          </w:tcPr>
          <w:p w:rsidR="00391ED8" w:rsidRPr="000D648B" w:rsidRDefault="00391ED8" w:rsidP="00557D75">
            <w:pPr>
              <w:rPr>
                <w:b/>
                <w:sz w:val="28"/>
                <w:szCs w:val="28"/>
              </w:rPr>
            </w:pPr>
            <w:r w:rsidRPr="000D648B">
              <w:rPr>
                <w:b/>
                <w:sz w:val="28"/>
                <w:szCs w:val="28"/>
              </w:rPr>
              <w:t>CSSCV</w:t>
            </w:r>
            <w:r w:rsidR="00E20508">
              <w:rPr>
                <w:b/>
                <w:sz w:val="28"/>
                <w:szCs w:val="28"/>
              </w:rPr>
              <w:t xml:space="preserve"> (3</w:t>
            </w:r>
            <w:r w:rsidR="000D648B" w:rsidRPr="000D648B">
              <w:rPr>
                <w:b/>
                <w:sz w:val="28"/>
                <w:szCs w:val="28"/>
              </w:rPr>
              <w:t>)</w:t>
            </w:r>
          </w:p>
          <w:p w:rsidR="000D648B" w:rsidRDefault="000D648B" w:rsidP="0055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Éric Sincennes</w:t>
            </w:r>
          </w:p>
          <w:p w:rsidR="00173ED7" w:rsidRDefault="00173ED7" w:rsidP="00557D7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3E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Annie Larocque</w:t>
            </w:r>
          </w:p>
          <w:p w:rsidR="00E20508" w:rsidRPr="00173ED7" w:rsidRDefault="00E20508" w:rsidP="00557D75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Hélène Contant</w:t>
            </w:r>
          </w:p>
        </w:tc>
      </w:tr>
      <w:tr w:rsidR="001D4583" w:rsidTr="009A111D">
        <w:tc>
          <w:tcPr>
            <w:tcW w:w="9202" w:type="dxa"/>
          </w:tcPr>
          <w:p w:rsidR="001D4583" w:rsidRPr="001D4583" w:rsidRDefault="001D4583" w:rsidP="00557D75">
            <w:pPr>
              <w:rPr>
                <w:b/>
                <w:sz w:val="28"/>
                <w:szCs w:val="28"/>
              </w:rPr>
            </w:pPr>
            <w:r w:rsidRPr="001D4583">
              <w:rPr>
                <w:b/>
                <w:sz w:val="28"/>
                <w:szCs w:val="28"/>
              </w:rPr>
              <w:t>Autre (2)</w:t>
            </w:r>
          </w:p>
          <w:p w:rsidR="001D4583" w:rsidRDefault="001D4583" w:rsidP="0055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Peterson (AQDÉRO)</w:t>
            </w:r>
          </w:p>
          <w:p w:rsidR="001D4583" w:rsidRDefault="001D4583" w:rsidP="0055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Gilbert </w:t>
            </w:r>
            <w:proofErr w:type="spellStart"/>
            <w:r>
              <w:rPr>
                <w:sz w:val="28"/>
                <w:szCs w:val="28"/>
              </w:rPr>
              <w:t>Jolin</w:t>
            </w:r>
            <w:proofErr w:type="spellEnd"/>
            <w:r>
              <w:rPr>
                <w:sz w:val="28"/>
                <w:szCs w:val="28"/>
              </w:rPr>
              <w:t xml:space="preserve"> (Vérificateur)</w:t>
            </w:r>
          </w:p>
        </w:tc>
      </w:tr>
    </w:tbl>
    <w:p w:rsidR="00364CE2" w:rsidRDefault="00364CE2" w:rsidP="00364CE2">
      <w:pPr>
        <w:jc w:val="center"/>
        <w:rPr>
          <w:sz w:val="28"/>
          <w:szCs w:val="28"/>
        </w:rPr>
      </w:pPr>
    </w:p>
    <w:p w:rsidR="00E20508" w:rsidRDefault="00E20508" w:rsidP="00364CE2">
      <w:pPr>
        <w:jc w:val="center"/>
        <w:rPr>
          <w:sz w:val="28"/>
          <w:szCs w:val="28"/>
        </w:rPr>
      </w:pPr>
    </w:p>
    <w:p w:rsidR="00E20508" w:rsidRDefault="00E20508" w:rsidP="00364CE2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4677"/>
        <w:gridCol w:w="1831"/>
      </w:tblGrid>
      <w:tr w:rsidR="00364CE2" w:rsidTr="00AA1D65">
        <w:tc>
          <w:tcPr>
            <w:tcW w:w="2694" w:type="dxa"/>
            <w:shd w:val="clear" w:color="auto" w:fill="BDD6EE" w:themeFill="accent1" w:themeFillTint="66"/>
          </w:tcPr>
          <w:p w:rsidR="00364CE2" w:rsidRPr="00980130" w:rsidRDefault="00364CE2" w:rsidP="00980130">
            <w:pPr>
              <w:rPr>
                <w:b/>
                <w:sz w:val="24"/>
                <w:szCs w:val="24"/>
              </w:rPr>
            </w:pPr>
            <w:r w:rsidRPr="00980130">
              <w:rPr>
                <w:b/>
                <w:sz w:val="24"/>
                <w:szCs w:val="24"/>
              </w:rPr>
              <w:lastRenderedPageBreak/>
              <w:t>1. Bienvenue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364CE2" w:rsidRPr="008D5D18" w:rsidRDefault="00364CE2" w:rsidP="00364C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364CE2" w:rsidRPr="008D5D18" w:rsidRDefault="00364CE2" w:rsidP="00364CE2">
            <w:pPr>
              <w:jc w:val="center"/>
              <w:rPr>
                <w:sz w:val="24"/>
                <w:szCs w:val="24"/>
              </w:rPr>
            </w:pPr>
          </w:p>
        </w:tc>
      </w:tr>
      <w:tr w:rsidR="00980130" w:rsidTr="00747615">
        <w:tc>
          <w:tcPr>
            <w:tcW w:w="2694" w:type="dxa"/>
          </w:tcPr>
          <w:p w:rsidR="00980130" w:rsidRPr="008D5D18" w:rsidRDefault="00980130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Mot de bienvenue, Nancy Lamothe,</w:t>
            </w:r>
            <w:r w:rsidR="00775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présidente</w:t>
            </w:r>
          </w:p>
        </w:tc>
        <w:tc>
          <w:tcPr>
            <w:tcW w:w="4677" w:type="dxa"/>
          </w:tcPr>
          <w:p w:rsidR="0081262F" w:rsidRDefault="00980130" w:rsidP="00B42B2D">
            <w:pPr>
              <w:jc w:val="both"/>
              <w:rPr>
                <w:sz w:val="24"/>
                <w:szCs w:val="24"/>
              </w:rPr>
            </w:pPr>
            <w:r w:rsidRPr="008D5D18">
              <w:rPr>
                <w:sz w:val="24"/>
                <w:szCs w:val="24"/>
              </w:rPr>
              <w:t>Nancy Lamothe souhaite la bienvenue aux membres qui son</w:t>
            </w:r>
            <w:r>
              <w:rPr>
                <w:sz w:val="24"/>
                <w:szCs w:val="24"/>
              </w:rPr>
              <w:t xml:space="preserve">t venus en grand nombre. </w:t>
            </w:r>
            <w:r w:rsidR="003A5042">
              <w:rPr>
                <w:sz w:val="24"/>
                <w:szCs w:val="24"/>
              </w:rPr>
              <w:t>Nous vivons tous un peu d’isolement,</w:t>
            </w:r>
            <w:r w:rsidR="0081262F">
              <w:rPr>
                <w:sz w:val="24"/>
                <w:szCs w:val="24"/>
              </w:rPr>
              <w:t xml:space="preserve"> Il ne faut pas hésiter</w:t>
            </w:r>
            <w:r w:rsidR="00156C2E">
              <w:rPr>
                <w:sz w:val="24"/>
                <w:szCs w:val="24"/>
              </w:rPr>
              <w:t xml:space="preserve"> à communiquer avec les gens de</w:t>
            </w:r>
            <w:r w:rsidR="00F61A28">
              <w:rPr>
                <w:sz w:val="24"/>
                <w:szCs w:val="24"/>
              </w:rPr>
              <w:t xml:space="preserve"> notre</w:t>
            </w:r>
            <w:r w:rsidR="00C35D92">
              <w:rPr>
                <w:sz w:val="24"/>
                <w:szCs w:val="24"/>
              </w:rPr>
              <w:t xml:space="preserve"> réseau, maintenant plus que jamais.</w:t>
            </w:r>
          </w:p>
          <w:p w:rsidR="00C35D92" w:rsidRPr="008D5D18" w:rsidRDefault="00C35D92" w:rsidP="00880E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130" w:rsidRPr="008D5D18" w:rsidRDefault="00980130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980130" w:rsidTr="00AA1D65">
        <w:tc>
          <w:tcPr>
            <w:tcW w:w="2694" w:type="dxa"/>
            <w:shd w:val="clear" w:color="auto" w:fill="BDD6EE" w:themeFill="accent1" w:themeFillTint="66"/>
          </w:tcPr>
          <w:p w:rsidR="00980130" w:rsidRPr="00980130" w:rsidRDefault="00980130" w:rsidP="00980130">
            <w:pPr>
              <w:rPr>
                <w:b/>
                <w:sz w:val="24"/>
                <w:szCs w:val="24"/>
              </w:rPr>
            </w:pPr>
            <w:r w:rsidRPr="00980130">
              <w:rPr>
                <w:b/>
                <w:sz w:val="24"/>
                <w:szCs w:val="24"/>
              </w:rPr>
              <w:t>2. Assemblée générale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80130" w:rsidRPr="008D5D18" w:rsidRDefault="00980130" w:rsidP="0098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980130" w:rsidRPr="008D5D18" w:rsidRDefault="00980130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980130" w:rsidTr="00747615">
        <w:tc>
          <w:tcPr>
            <w:tcW w:w="2694" w:type="dxa"/>
          </w:tcPr>
          <w:p w:rsidR="00980130" w:rsidRPr="008D5D18" w:rsidRDefault="00980130" w:rsidP="00980130">
            <w:pPr>
              <w:rPr>
                <w:sz w:val="24"/>
                <w:szCs w:val="24"/>
              </w:rPr>
            </w:pPr>
            <w:r w:rsidRPr="008D5D18">
              <w:rPr>
                <w:sz w:val="24"/>
                <w:szCs w:val="24"/>
              </w:rPr>
              <w:t>2.1 Adoption de l’ordre du jour</w:t>
            </w:r>
          </w:p>
        </w:tc>
        <w:tc>
          <w:tcPr>
            <w:tcW w:w="4677" w:type="dxa"/>
          </w:tcPr>
          <w:p w:rsidR="00980130" w:rsidRPr="008D5D18" w:rsidRDefault="00980130" w:rsidP="00980130">
            <w:pPr>
              <w:jc w:val="both"/>
              <w:rPr>
                <w:sz w:val="24"/>
                <w:szCs w:val="24"/>
              </w:rPr>
            </w:pPr>
            <w:r w:rsidRPr="008D5D18">
              <w:rPr>
                <w:sz w:val="24"/>
                <w:szCs w:val="24"/>
              </w:rPr>
              <w:t xml:space="preserve">Il est proposé par </w:t>
            </w:r>
            <w:r w:rsidR="003A5042">
              <w:rPr>
                <w:sz w:val="24"/>
                <w:szCs w:val="24"/>
              </w:rPr>
              <w:t>Annick Massie</w:t>
            </w:r>
            <w:r w:rsidR="009A111D">
              <w:rPr>
                <w:sz w:val="24"/>
                <w:szCs w:val="24"/>
              </w:rPr>
              <w:t>, du</w:t>
            </w:r>
            <w:r w:rsidRPr="008D5D18">
              <w:rPr>
                <w:sz w:val="24"/>
                <w:szCs w:val="24"/>
              </w:rPr>
              <w:t xml:space="preserve"> C</w:t>
            </w:r>
            <w:r w:rsidR="003A5042">
              <w:rPr>
                <w:sz w:val="24"/>
                <w:szCs w:val="24"/>
              </w:rPr>
              <w:t>S</w:t>
            </w:r>
            <w:r w:rsidRPr="008D5D18">
              <w:rPr>
                <w:sz w:val="24"/>
                <w:szCs w:val="24"/>
              </w:rPr>
              <w:t>SD, d’adopter l’ordre du jour tel que présenté.</w:t>
            </w:r>
          </w:p>
        </w:tc>
        <w:tc>
          <w:tcPr>
            <w:tcW w:w="1831" w:type="dxa"/>
          </w:tcPr>
          <w:p w:rsidR="00980130" w:rsidRDefault="00B42B2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AG-01-A-20-21</w:t>
            </w:r>
          </w:p>
          <w:p w:rsidR="00DE6F8D" w:rsidRPr="008D5D18" w:rsidRDefault="00DE6F8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980130" w:rsidTr="00AA1D65">
        <w:tc>
          <w:tcPr>
            <w:tcW w:w="2694" w:type="dxa"/>
            <w:shd w:val="clear" w:color="auto" w:fill="BDD6EE" w:themeFill="accent1" w:themeFillTint="66"/>
          </w:tcPr>
          <w:p w:rsidR="00980130" w:rsidRPr="00980130" w:rsidRDefault="004F107F" w:rsidP="00980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Chantal L</w:t>
            </w:r>
            <w:r w:rsidR="00980130" w:rsidRPr="00980130">
              <w:rPr>
                <w:b/>
                <w:sz w:val="24"/>
                <w:szCs w:val="24"/>
              </w:rPr>
              <w:t>aberge, secrétaire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80130" w:rsidRPr="00980130" w:rsidRDefault="00980130" w:rsidP="0098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980130" w:rsidRPr="00980130" w:rsidRDefault="00980130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980130" w:rsidTr="00747615">
        <w:tc>
          <w:tcPr>
            <w:tcW w:w="2694" w:type="dxa"/>
          </w:tcPr>
          <w:p w:rsidR="00980130" w:rsidRPr="00980130" w:rsidRDefault="00980130" w:rsidP="00980130">
            <w:pPr>
              <w:rPr>
                <w:sz w:val="24"/>
                <w:szCs w:val="24"/>
              </w:rPr>
            </w:pPr>
            <w:r w:rsidRPr="00980130">
              <w:rPr>
                <w:sz w:val="24"/>
                <w:szCs w:val="24"/>
              </w:rPr>
              <w:t>3.1 Adoption d</w:t>
            </w:r>
            <w:r w:rsidR="00B42B2D">
              <w:rPr>
                <w:sz w:val="24"/>
                <w:szCs w:val="24"/>
              </w:rPr>
              <w:t>u procès-verbal du 16 mai 2019</w:t>
            </w:r>
          </w:p>
        </w:tc>
        <w:tc>
          <w:tcPr>
            <w:tcW w:w="4677" w:type="dxa"/>
          </w:tcPr>
          <w:p w:rsidR="00980130" w:rsidRPr="00980130" w:rsidRDefault="00980130" w:rsidP="00980130">
            <w:pPr>
              <w:jc w:val="both"/>
              <w:rPr>
                <w:sz w:val="24"/>
                <w:szCs w:val="24"/>
              </w:rPr>
            </w:pPr>
            <w:r w:rsidRPr="00980130">
              <w:rPr>
                <w:sz w:val="24"/>
                <w:szCs w:val="24"/>
              </w:rPr>
              <w:t xml:space="preserve">Il est proposé par </w:t>
            </w:r>
            <w:r w:rsidR="003A5042">
              <w:rPr>
                <w:sz w:val="24"/>
                <w:szCs w:val="24"/>
              </w:rPr>
              <w:t>Lynne Séguin</w:t>
            </w:r>
            <w:r w:rsidR="00156C2E">
              <w:rPr>
                <w:sz w:val="24"/>
                <w:szCs w:val="24"/>
              </w:rPr>
              <w:t>, du</w:t>
            </w:r>
            <w:r w:rsidRPr="00980130">
              <w:rPr>
                <w:sz w:val="24"/>
                <w:szCs w:val="24"/>
              </w:rPr>
              <w:t xml:space="preserve"> C</w:t>
            </w:r>
            <w:r w:rsidR="00156C2E">
              <w:rPr>
                <w:sz w:val="24"/>
                <w:szCs w:val="24"/>
              </w:rPr>
              <w:t>S</w:t>
            </w:r>
            <w:r w:rsidRPr="00980130">
              <w:rPr>
                <w:sz w:val="24"/>
                <w:szCs w:val="24"/>
              </w:rPr>
              <w:t>SPO, d’adopter le</w:t>
            </w:r>
            <w:r w:rsidR="00B42B2D">
              <w:rPr>
                <w:sz w:val="24"/>
                <w:szCs w:val="24"/>
              </w:rPr>
              <w:t xml:space="preserve"> procès-verbal du 16 mai 2019</w:t>
            </w:r>
            <w:r w:rsidRPr="00980130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980130" w:rsidRDefault="00B42B2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AG-02-A-20-21</w:t>
            </w:r>
          </w:p>
          <w:p w:rsidR="00DE6F8D" w:rsidRPr="00980130" w:rsidRDefault="00DE6F8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980130" w:rsidTr="00747615">
        <w:tc>
          <w:tcPr>
            <w:tcW w:w="2694" w:type="dxa"/>
          </w:tcPr>
          <w:p w:rsidR="00980130" w:rsidRPr="00980130" w:rsidRDefault="00980130" w:rsidP="00980130">
            <w:pPr>
              <w:rPr>
                <w:sz w:val="24"/>
                <w:szCs w:val="24"/>
              </w:rPr>
            </w:pPr>
            <w:r w:rsidRPr="00980130">
              <w:rPr>
                <w:sz w:val="24"/>
                <w:szCs w:val="24"/>
              </w:rPr>
              <w:t>3.2 Suivi des résolutions</w:t>
            </w:r>
          </w:p>
        </w:tc>
        <w:tc>
          <w:tcPr>
            <w:tcW w:w="4677" w:type="dxa"/>
          </w:tcPr>
          <w:p w:rsidR="00980130" w:rsidRDefault="00980130" w:rsidP="00980130">
            <w:pPr>
              <w:rPr>
                <w:sz w:val="24"/>
                <w:szCs w:val="24"/>
              </w:rPr>
            </w:pPr>
            <w:r w:rsidRPr="00980130">
              <w:rPr>
                <w:sz w:val="24"/>
                <w:szCs w:val="24"/>
              </w:rPr>
              <w:t>Il n’y a pas de suivi.</w:t>
            </w:r>
          </w:p>
          <w:p w:rsidR="00E77D71" w:rsidRPr="00980130" w:rsidRDefault="00E77D71" w:rsidP="00980130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130" w:rsidRPr="00980130" w:rsidRDefault="00980130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980130" w:rsidTr="00AA1D65">
        <w:tc>
          <w:tcPr>
            <w:tcW w:w="2694" w:type="dxa"/>
            <w:shd w:val="clear" w:color="auto" w:fill="BDD6EE" w:themeFill="accent1" w:themeFillTint="66"/>
          </w:tcPr>
          <w:p w:rsidR="00980130" w:rsidRPr="00980130" w:rsidRDefault="00980130" w:rsidP="00980130">
            <w:pPr>
              <w:rPr>
                <w:b/>
                <w:sz w:val="24"/>
                <w:szCs w:val="24"/>
              </w:rPr>
            </w:pPr>
            <w:r w:rsidRPr="00980130">
              <w:rPr>
                <w:b/>
                <w:sz w:val="24"/>
                <w:szCs w:val="24"/>
              </w:rPr>
              <w:t>4. Nancy Lamothe, présidente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80130" w:rsidRDefault="00980130" w:rsidP="0098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980130" w:rsidRDefault="00980130" w:rsidP="00980130">
            <w:pPr>
              <w:jc w:val="center"/>
              <w:rPr>
                <w:sz w:val="28"/>
                <w:szCs w:val="28"/>
              </w:rPr>
            </w:pPr>
          </w:p>
        </w:tc>
      </w:tr>
      <w:tr w:rsidR="00980130" w:rsidTr="00747615">
        <w:tc>
          <w:tcPr>
            <w:tcW w:w="2694" w:type="dxa"/>
          </w:tcPr>
          <w:p w:rsidR="00980130" w:rsidRPr="00980130" w:rsidRDefault="00980130" w:rsidP="00980130">
            <w:pPr>
              <w:rPr>
                <w:sz w:val="24"/>
                <w:szCs w:val="24"/>
              </w:rPr>
            </w:pPr>
            <w:r w:rsidRPr="00980130">
              <w:rPr>
                <w:sz w:val="24"/>
                <w:szCs w:val="24"/>
              </w:rPr>
              <w:t>4.1 Présentation du rapport annuel</w:t>
            </w:r>
          </w:p>
        </w:tc>
        <w:tc>
          <w:tcPr>
            <w:tcW w:w="4677" w:type="dxa"/>
          </w:tcPr>
          <w:p w:rsidR="00980130" w:rsidRDefault="00980130" w:rsidP="00980130">
            <w:pPr>
              <w:jc w:val="both"/>
              <w:rPr>
                <w:sz w:val="24"/>
                <w:szCs w:val="24"/>
              </w:rPr>
            </w:pPr>
            <w:r w:rsidRPr="00980130">
              <w:rPr>
                <w:sz w:val="24"/>
                <w:szCs w:val="24"/>
              </w:rPr>
              <w:t>Nancy Lamothe présente le rapport annuel aux membres présents.</w:t>
            </w:r>
          </w:p>
          <w:p w:rsidR="00E77D71" w:rsidRPr="00980130" w:rsidRDefault="00E77D71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130" w:rsidRPr="00AA1D65" w:rsidRDefault="00AA1D65" w:rsidP="00980130">
            <w:pPr>
              <w:jc w:val="center"/>
              <w:rPr>
                <w:sz w:val="24"/>
                <w:szCs w:val="24"/>
              </w:rPr>
            </w:pPr>
            <w:r w:rsidRPr="00AA1D65">
              <w:rPr>
                <w:sz w:val="24"/>
                <w:szCs w:val="24"/>
              </w:rPr>
              <w:t>Dépôt</w:t>
            </w:r>
          </w:p>
        </w:tc>
      </w:tr>
      <w:tr w:rsidR="00B42B2D" w:rsidTr="00747615">
        <w:tc>
          <w:tcPr>
            <w:tcW w:w="2694" w:type="dxa"/>
          </w:tcPr>
          <w:p w:rsidR="00B42B2D" w:rsidRPr="00980130" w:rsidRDefault="00B42B2D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Constitution</w:t>
            </w:r>
          </w:p>
        </w:tc>
        <w:tc>
          <w:tcPr>
            <w:tcW w:w="4677" w:type="dxa"/>
          </w:tcPr>
          <w:p w:rsidR="00B42B2D" w:rsidRPr="00980130" w:rsidRDefault="00C8184D" w:rsidP="0098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proposé par Lison Montamb</w:t>
            </w:r>
            <w:r w:rsidR="005753D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ault</w:t>
            </w:r>
            <w:r w:rsidR="00615492">
              <w:rPr>
                <w:sz w:val="24"/>
                <w:szCs w:val="24"/>
              </w:rPr>
              <w:t xml:space="preserve"> d’</w:t>
            </w:r>
            <w:r>
              <w:rPr>
                <w:sz w:val="24"/>
                <w:szCs w:val="24"/>
              </w:rPr>
              <w:t>adopter</w:t>
            </w:r>
            <w:r w:rsidR="00615492">
              <w:rPr>
                <w:sz w:val="24"/>
                <w:szCs w:val="24"/>
              </w:rPr>
              <w:t xml:space="preserve"> la Constitution tel</w:t>
            </w:r>
            <w:r>
              <w:rPr>
                <w:sz w:val="24"/>
                <w:szCs w:val="24"/>
              </w:rPr>
              <w:t>le</w:t>
            </w:r>
            <w:r w:rsidR="00615492">
              <w:rPr>
                <w:sz w:val="24"/>
                <w:szCs w:val="24"/>
              </w:rPr>
              <w:t xml:space="preserve"> que présenté</w:t>
            </w:r>
            <w:r>
              <w:rPr>
                <w:sz w:val="24"/>
                <w:szCs w:val="24"/>
              </w:rPr>
              <w:t>e</w:t>
            </w:r>
            <w:r w:rsidR="00615492"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E47F1B" w:rsidRDefault="00E47F1B" w:rsidP="00E4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AG-03-A-20-21</w:t>
            </w:r>
          </w:p>
          <w:p w:rsidR="00B42B2D" w:rsidRDefault="00E47F1B" w:rsidP="00E47F1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B42B2D" w:rsidTr="00747615">
        <w:tc>
          <w:tcPr>
            <w:tcW w:w="2694" w:type="dxa"/>
          </w:tcPr>
          <w:p w:rsidR="00B42B2D" w:rsidRPr="00980130" w:rsidRDefault="00B42B2D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Code d’éthique</w:t>
            </w:r>
          </w:p>
        </w:tc>
        <w:tc>
          <w:tcPr>
            <w:tcW w:w="4677" w:type="dxa"/>
          </w:tcPr>
          <w:p w:rsidR="00B42B2D" w:rsidRPr="00980130" w:rsidRDefault="003A5F51" w:rsidP="0098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proposé par Lison Montambeault</w:t>
            </w:r>
            <w:r w:rsidR="00615492">
              <w:rPr>
                <w:sz w:val="24"/>
                <w:szCs w:val="24"/>
              </w:rPr>
              <w:t xml:space="preserve"> d’</w:t>
            </w:r>
            <w:r>
              <w:rPr>
                <w:sz w:val="24"/>
                <w:szCs w:val="24"/>
              </w:rPr>
              <w:t>adopter</w:t>
            </w:r>
            <w:r w:rsidR="00615492">
              <w:rPr>
                <w:sz w:val="24"/>
                <w:szCs w:val="24"/>
              </w:rPr>
              <w:t xml:space="preserve"> le Code d’éthique tel que présenté.</w:t>
            </w:r>
          </w:p>
        </w:tc>
        <w:tc>
          <w:tcPr>
            <w:tcW w:w="1831" w:type="dxa"/>
          </w:tcPr>
          <w:p w:rsidR="00E47F1B" w:rsidRDefault="00E47F1B" w:rsidP="00E4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AG-04-A-20-21</w:t>
            </w:r>
          </w:p>
          <w:p w:rsidR="00B42B2D" w:rsidRDefault="00E47F1B" w:rsidP="00E47F1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980130" w:rsidTr="00AA1D65">
        <w:tc>
          <w:tcPr>
            <w:tcW w:w="2694" w:type="dxa"/>
            <w:shd w:val="clear" w:color="auto" w:fill="BDD6EE" w:themeFill="accent1" w:themeFillTint="66"/>
          </w:tcPr>
          <w:p w:rsidR="00980130" w:rsidRPr="00BF6323" w:rsidRDefault="00BF6323" w:rsidP="00980130">
            <w:pPr>
              <w:rPr>
                <w:b/>
                <w:sz w:val="24"/>
                <w:szCs w:val="24"/>
              </w:rPr>
            </w:pPr>
            <w:r w:rsidRPr="00BF6323">
              <w:rPr>
                <w:b/>
                <w:sz w:val="24"/>
                <w:szCs w:val="24"/>
              </w:rPr>
              <w:t>5. Nathalie Trottier, trésorière par intérim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80130" w:rsidRPr="00980130" w:rsidRDefault="00980130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980130" w:rsidRDefault="00980130" w:rsidP="00980130">
            <w:pPr>
              <w:jc w:val="center"/>
              <w:rPr>
                <w:sz w:val="28"/>
                <w:szCs w:val="28"/>
              </w:rPr>
            </w:pPr>
          </w:p>
        </w:tc>
      </w:tr>
      <w:tr w:rsidR="00E47F1B" w:rsidTr="00747615">
        <w:tc>
          <w:tcPr>
            <w:tcW w:w="2694" w:type="dxa"/>
          </w:tcPr>
          <w:p w:rsidR="00E47F1B" w:rsidRPr="00E47F1B" w:rsidRDefault="00E47F1B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Changement de da</w:t>
            </w:r>
            <w:r w:rsidRPr="00E47F1B">
              <w:rPr>
                <w:sz w:val="24"/>
                <w:szCs w:val="24"/>
              </w:rPr>
              <w:t>te de l’année fiscale</w:t>
            </w:r>
          </w:p>
        </w:tc>
        <w:tc>
          <w:tcPr>
            <w:tcW w:w="4677" w:type="dxa"/>
          </w:tcPr>
          <w:p w:rsidR="00E47F1B" w:rsidRDefault="00A5022C" w:rsidP="0098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proposé par Lyne Normand du CSSD</w:t>
            </w:r>
            <w:r w:rsidR="00E47F1B">
              <w:rPr>
                <w:sz w:val="24"/>
                <w:szCs w:val="24"/>
              </w:rPr>
              <w:t xml:space="preserve"> d’approuver le changement de date de l’année fiscale</w:t>
            </w:r>
            <w:r>
              <w:rPr>
                <w:sz w:val="24"/>
                <w:szCs w:val="24"/>
              </w:rPr>
              <w:t xml:space="preserve"> du 1</w:t>
            </w:r>
            <w:r w:rsidRPr="00A5022C">
              <w:rPr>
                <w:sz w:val="24"/>
                <w:szCs w:val="24"/>
                <w:vertAlign w:val="superscript"/>
              </w:rPr>
              <w:t>er</w:t>
            </w:r>
            <w:r w:rsidR="00F61A28">
              <w:rPr>
                <w:sz w:val="24"/>
                <w:szCs w:val="24"/>
              </w:rPr>
              <w:t xml:space="preserve"> août au</w:t>
            </w:r>
            <w:r>
              <w:rPr>
                <w:sz w:val="24"/>
                <w:szCs w:val="24"/>
              </w:rPr>
              <w:t xml:space="preserve"> 31 juillet</w:t>
            </w:r>
            <w:r w:rsidR="00E47F1B">
              <w:rPr>
                <w:sz w:val="24"/>
                <w:szCs w:val="24"/>
              </w:rPr>
              <w:t>.</w:t>
            </w:r>
          </w:p>
          <w:p w:rsidR="00C35D92" w:rsidRPr="00980130" w:rsidRDefault="00C35D92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E47F1B" w:rsidRDefault="00E47F1B" w:rsidP="00E4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AG-05-A-20-21</w:t>
            </w:r>
          </w:p>
          <w:p w:rsidR="00E47F1B" w:rsidRDefault="00E47F1B" w:rsidP="00E47F1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980130" w:rsidTr="00747615">
        <w:tc>
          <w:tcPr>
            <w:tcW w:w="2694" w:type="dxa"/>
          </w:tcPr>
          <w:p w:rsidR="00980130" w:rsidRPr="00980130" w:rsidRDefault="00E47F1B" w:rsidP="00E4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BF6323">
              <w:rPr>
                <w:sz w:val="24"/>
                <w:szCs w:val="24"/>
              </w:rPr>
              <w:t xml:space="preserve"> </w:t>
            </w:r>
            <w:r w:rsidR="00BF6323" w:rsidRPr="00BF6323">
              <w:rPr>
                <w:sz w:val="24"/>
                <w:szCs w:val="24"/>
              </w:rPr>
              <w:t xml:space="preserve">Adoption de l’exercice financier </w:t>
            </w: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4677" w:type="dxa"/>
          </w:tcPr>
          <w:p w:rsidR="00980130" w:rsidRPr="00980130" w:rsidRDefault="0065574E" w:rsidP="00E94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</w:t>
            </w:r>
            <w:r w:rsidR="00E94739">
              <w:rPr>
                <w:sz w:val="24"/>
                <w:szCs w:val="24"/>
              </w:rPr>
              <w:t>Nathalie Barbe, du</w:t>
            </w:r>
            <w:r>
              <w:rPr>
                <w:sz w:val="24"/>
                <w:szCs w:val="24"/>
              </w:rPr>
              <w:t xml:space="preserve"> C</w:t>
            </w:r>
            <w:r w:rsidR="00E9473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SD, d’adopter l’exercice financier de </w:t>
            </w:r>
            <w:r w:rsidR="00E94739">
              <w:rPr>
                <w:sz w:val="24"/>
                <w:szCs w:val="24"/>
              </w:rPr>
              <w:t>2018-2019.</w:t>
            </w:r>
          </w:p>
        </w:tc>
        <w:tc>
          <w:tcPr>
            <w:tcW w:w="1831" w:type="dxa"/>
          </w:tcPr>
          <w:p w:rsidR="00980130" w:rsidRDefault="000D1ADC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AG-06</w:t>
            </w:r>
            <w:r w:rsidR="0065574E" w:rsidRPr="0065574E">
              <w:rPr>
                <w:sz w:val="24"/>
                <w:szCs w:val="24"/>
              </w:rPr>
              <w:t>-A-</w:t>
            </w:r>
            <w:r w:rsidR="00AA1D65">
              <w:rPr>
                <w:sz w:val="24"/>
                <w:szCs w:val="24"/>
              </w:rPr>
              <w:t>20-21</w:t>
            </w:r>
          </w:p>
          <w:p w:rsidR="00DE6F8D" w:rsidRPr="0065574E" w:rsidRDefault="00DE6F8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980130" w:rsidTr="00747615">
        <w:tc>
          <w:tcPr>
            <w:tcW w:w="2694" w:type="dxa"/>
          </w:tcPr>
          <w:p w:rsidR="00980130" w:rsidRPr="00980130" w:rsidRDefault="00E47F1B" w:rsidP="00E4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55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Adoption</w:t>
            </w:r>
            <w:r w:rsidR="0065574E" w:rsidRPr="0065574E">
              <w:rPr>
                <w:sz w:val="24"/>
                <w:szCs w:val="24"/>
              </w:rPr>
              <w:t xml:space="preserve"> de l’exercice financier </w:t>
            </w: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4677" w:type="dxa"/>
          </w:tcPr>
          <w:p w:rsidR="00980130" w:rsidRPr="00980130" w:rsidRDefault="00E94739" w:rsidP="00B37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</w:t>
            </w:r>
            <w:r w:rsidR="00B37D24">
              <w:rPr>
                <w:sz w:val="24"/>
                <w:szCs w:val="24"/>
              </w:rPr>
              <w:t xml:space="preserve">Manon </w:t>
            </w:r>
            <w:proofErr w:type="spellStart"/>
            <w:r w:rsidR="00B37D24">
              <w:rPr>
                <w:sz w:val="24"/>
                <w:szCs w:val="24"/>
              </w:rPr>
              <w:t>Lapratte</w:t>
            </w:r>
            <w:proofErr w:type="spellEnd"/>
            <w:r w:rsidR="00B37D24">
              <w:rPr>
                <w:sz w:val="24"/>
                <w:szCs w:val="24"/>
              </w:rPr>
              <w:t>, du</w:t>
            </w:r>
            <w:r>
              <w:rPr>
                <w:sz w:val="24"/>
                <w:szCs w:val="24"/>
              </w:rPr>
              <w:t xml:space="preserve"> CS</w:t>
            </w:r>
            <w:r w:rsidR="00B37D2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D, d’adopter l’exercice financier de 2019-2020</w:t>
            </w:r>
          </w:p>
        </w:tc>
        <w:tc>
          <w:tcPr>
            <w:tcW w:w="1831" w:type="dxa"/>
          </w:tcPr>
          <w:p w:rsidR="00107697" w:rsidRDefault="00107697" w:rsidP="0010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AG-07</w:t>
            </w:r>
            <w:r w:rsidRPr="0065574E">
              <w:rPr>
                <w:sz w:val="24"/>
                <w:szCs w:val="24"/>
              </w:rPr>
              <w:t>-A-</w:t>
            </w:r>
            <w:r>
              <w:rPr>
                <w:sz w:val="24"/>
                <w:szCs w:val="24"/>
              </w:rPr>
              <w:t>20-21</w:t>
            </w:r>
          </w:p>
          <w:p w:rsidR="00980130" w:rsidRDefault="00107697" w:rsidP="001076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980130" w:rsidTr="00747615">
        <w:tc>
          <w:tcPr>
            <w:tcW w:w="2694" w:type="dxa"/>
          </w:tcPr>
          <w:p w:rsidR="00980130" w:rsidRPr="00980130" w:rsidRDefault="000D1ADC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  <w:r w:rsidR="00655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Cotisation 2020-2021</w:t>
            </w:r>
          </w:p>
        </w:tc>
        <w:tc>
          <w:tcPr>
            <w:tcW w:w="4677" w:type="dxa"/>
          </w:tcPr>
          <w:p w:rsidR="00980130" w:rsidRDefault="0065574E" w:rsidP="00B37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</w:t>
            </w:r>
            <w:r w:rsidR="00107697">
              <w:rPr>
                <w:sz w:val="24"/>
                <w:szCs w:val="24"/>
              </w:rPr>
              <w:t>Denis Pacheco</w:t>
            </w:r>
            <w:r w:rsidR="00C35D92">
              <w:rPr>
                <w:sz w:val="24"/>
                <w:szCs w:val="24"/>
              </w:rPr>
              <w:t>,</w:t>
            </w:r>
            <w:r w:rsidR="00107697">
              <w:rPr>
                <w:sz w:val="24"/>
                <w:szCs w:val="24"/>
              </w:rPr>
              <w:t xml:space="preserve"> du</w:t>
            </w:r>
            <w:r>
              <w:rPr>
                <w:sz w:val="24"/>
                <w:szCs w:val="24"/>
              </w:rPr>
              <w:t xml:space="preserve"> C</w:t>
            </w:r>
            <w:r w:rsidR="0010769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SD de maintenir la cotisation à 1,2%</w:t>
            </w:r>
            <w:r w:rsidR="007E7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pour </w:t>
            </w:r>
            <w:r w:rsidR="00F61A28">
              <w:rPr>
                <w:sz w:val="24"/>
                <w:szCs w:val="24"/>
              </w:rPr>
              <w:t xml:space="preserve">l’année </w:t>
            </w:r>
            <w:r w:rsidR="00B37D24">
              <w:rPr>
                <w:sz w:val="24"/>
                <w:szCs w:val="24"/>
              </w:rPr>
              <w:t>2020-2021</w:t>
            </w:r>
            <w:r>
              <w:rPr>
                <w:sz w:val="24"/>
                <w:szCs w:val="24"/>
              </w:rPr>
              <w:t>.</w:t>
            </w:r>
          </w:p>
          <w:p w:rsidR="00C35D92" w:rsidRPr="00980130" w:rsidRDefault="00C35D92" w:rsidP="00B37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130" w:rsidRDefault="000D1ADC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07697">
              <w:rPr>
                <w:sz w:val="24"/>
                <w:szCs w:val="24"/>
              </w:rPr>
              <w:t>G-08</w:t>
            </w:r>
            <w:r w:rsidR="0065574E" w:rsidRPr="0065574E">
              <w:rPr>
                <w:sz w:val="24"/>
                <w:szCs w:val="24"/>
              </w:rPr>
              <w:t>-A-</w:t>
            </w:r>
            <w:r w:rsidR="00AA1D65">
              <w:rPr>
                <w:sz w:val="24"/>
                <w:szCs w:val="24"/>
              </w:rPr>
              <w:t>20-21</w:t>
            </w:r>
          </w:p>
          <w:p w:rsidR="00DE6F8D" w:rsidRDefault="00DE6F8D" w:rsidP="009801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65574E" w:rsidTr="00747615">
        <w:tc>
          <w:tcPr>
            <w:tcW w:w="2694" w:type="dxa"/>
          </w:tcPr>
          <w:p w:rsidR="0065574E" w:rsidRPr="00980130" w:rsidRDefault="000D1ADC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65574E">
              <w:rPr>
                <w:sz w:val="24"/>
                <w:szCs w:val="24"/>
              </w:rPr>
              <w:t xml:space="preserve"> </w:t>
            </w:r>
            <w:r w:rsidR="0065574E" w:rsidRPr="0065574E">
              <w:rPr>
                <w:sz w:val="24"/>
                <w:szCs w:val="24"/>
              </w:rPr>
              <w:t xml:space="preserve">Adoption des </w:t>
            </w:r>
            <w:r>
              <w:rPr>
                <w:sz w:val="24"/>
                <w:szCs w:val="24"/>
              </w:rPr>
              <w:t>prévisions budgétaires 2020-2021</w:t>
            </w:r>
          </w:p>
        </w:tc>
        <w:tc>
          <w:tcPr>
            <w:tcW w:w="4677" w:type="dxa"/>
          </w:tcPr>
          <w:p w:rsidR="00107697" w:rsidRDefault="003C1FA6" w:rsidP="0098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 Trottier nous présente l</w:t>
            </w:r>
            <w:r w:rsidR="00107697">
              <w:rPr>
                <w:sz w:val="24"/>
                <w:szCs w:val="24"/>
              </w:rPr>
              <w:t>es surplus cumulés. Le CA recommande de redonner aux membres. Le montant remis serait basé sur les 5 dernière années ce qui permettrait de remettre entre 50$ et 250$ selon le nombre d’années. La remise totale serait de 39 050$.</w:t>
            </w:r>
          </w:p>
          <w:p w:rsidR="00107697" w:rsidRDefault="00107697" w:rsidP="00980130">
            <w:pPr>
              <w:jc w:val="both"/>
              <w:rPr>
                <w:sz w:val="24"/>
                <w:szCs w:val="24"/>
              </w:rPr>
            </w:pPr>
          </w:p>
          <w:p w:rsidR="00107697" w:rsidRDefault="00107697" w:rsidP="0098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proposé par Marco Champagne</w:t>
            </w:r>
            <w:r w:rsidR="00D62D4C">
              <w:rPr>
                <w:sz w:val="24"/>
                <w:szCs w:val="24"/>
              </w:rPr>
              <w:t xml:space="preserve"> du CSSD</w:t>
            </w:r>
            <w:r>
              <w:rPr>
                <w:sz w:val="24"/>
                <w:szCs w:val="24"/>
              </w:rPr>
              <w:t xml:space="preserve"> d’approuver la proposition de faire une remise aux membres tel</w:t>
            </w:r>
            <w:r w:rsidR="003C1FA6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que présenté</w:t>
            </w:r>
            <w:r w:rsidR="003C1FA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7697" w:rsidRDefault="00107697" w:rsidP="00980130">
            <w:pPr>
              <w:jc w:val="both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both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both"/>
              <w:rPr>
                <w:sz w:val="24"/>
                <w:szCs w:val="24"/>
              </w:rPr>
            </w:pPr>
          </w:p>
          <w:p w:rsidR="0065574E" w:rsidRDefault="0065574E" w:rsidP="00980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</w:t>
            </w:r>
            <w:r w:rsidR="00170363">
              <w:rPr>
                <w:sz w:val="24"/>
                <w:szCs w:val="24"/>
              </w:rPr>
              <w:t>Natalie Bertrand</w:t>
            </w:r>
            <w:r w:rsidR="00D62D4C">
              <w:rPr>
                <w:sz w:val="24"/>
                <w:szCs w:val="24"/>
              </w:rPr>
              <w:t xml:space="preserve"> de la CSSD</w:t>
            </w:r>
            <w:r>
              <w:rPr>
                <w:sz w:val="24"/>
                <w:szCs w:val="24"/>
              </w:rPr>
              <w:t xml:space="preserve">, d’adopter les </w:t>
            </w:r>
            <w:r w:rsidR="00D62D4C">
              <w:rPr>
                <w:sz w:val="24"/>
                <w:szCs w:val="24"/>
              </w:rPr>
              <w:t>prévisions budgétaires 2020-2021</w:t>
            </w:r>
            <w:r>
              <w:rPr>
                <w:sz w:val="24"/>
                <w:szCs w:val="24"/>
              </w:rPr>
              <w:t>.</w:t>
            </w:r>
          </w:p>
          <w:p w:rsidR="00107697" w:rsidRDefault="00107697" w:rsidP="00980130">
            <w:pPr>
              <w:jc w:val="both"/>
              <w:rPr>
                <w:sz w:val="24"/>
                <w:szCs w:val="24"/>
              </w:rPr>
            </w:pPr>
          </w:p>
          <w:p w:rsidR="00107697" w:rsidRPr="00980130" w:rsidRDefault="00107697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3C1FA6" w:rsidRDefault="003C1FA6" w:rsidP="00980130">
            <w:pPr>
              <w:jc w:val="center"/>
              <w:rPr>
                <w:sz w:val="24"/>
                <w:szCs w:val="24"/>
              </w:rPr>
            </w:pPr>
          </w:p>
          <w:p w:rsidR="0065574E" w:rsidRDefault="00107697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AG-09</w:t>
            </w:r>
            <w:r w:rsidR="0065574E" w:rsidRPr="0065574E">
              <w:rPr>
                <w:sz w:val="24"/>
                <w:szCs w:val="24"/>
              </w:rPr>
              <w:t>-A-</w:t>
            </w:r>
            <w:r w:rsidR="00AA1D65">
              <w:rPr>
                <w:sz w:val="24"/>
                <w:szCs w:val="24"/>
              </w:rPr>
              <w:t>20-21</w:t>
            </w:r>
          </w:p>
          <w:p w:rsidR="00DE6F8D" w:rsidRDefault="00DE6F8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  <w:p w:rsidR="00107697" w:rsidRDefault="00107697" w:rsidP="00980130">
            <w:pPr>
              <w:jc w:val="center"/>
              <w:rPr>
                <w:sz w:val="24"/>
                <w:szCs w:val="24"/>
              </w:rPr>
            </w:pPr>
          </w:p>
          <w:p w:rsidR="00107697" w:rsidRDefault="00107697" w:rsidP="00980130">
            <w:pPr>
              <w:jc w:val="center"/>
              <w:rPr>
                <w:sz w:val="24"/>
                <w:szCs w:val="24"/>
              </w:rPr>
            </w:pPr>
          </w:p>
          <w:p w:rsidR="00107697" w:rsidRDefault="00107697" w:rsidP="003C1FA6">
            <w:pPr>
              <w:rPr>
                <w:sz w:val="24"/>
                <w:szCs w:val="24"/>
              </w:rPr>
            </w:pPr>
          </w:p>
          <w:p w:rsidR="00107697" w:rsidRDefault="00107697" w:rsidP="0010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AG-10</w:t>
            </w:r>
            <w:r w:rsidRPr="0065574E">
              <w:rPr>
                <w:sz w:val="24"/>
                <w:szCs w:val="24"/>
              </w:rPr>
              <w:t>-A-</w:t>
            </w:r>
            <w:r>
              <w:rPr>
                <w:sz w:val="24"/>
                <w:szCs w:val="24"/>
              </w:rPr>
              <w:t>20-21</w:t>
            </w:r>
          </w:p>
          <w:p w:rsidR="00107697" w:rsidRDefault="00107697" w:rsidP="0010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  <w:p w:rsidR="00107697" w:rsidRDefault="00107697" w:rsidP="00107697">
            <w:pPr>
              <w:rPr>
                <w:sz w:val="28"/>
                <w:szCs w:val="28"/>
              </w:rPr>
            </w:pPr>
          </w:p>
        </w:tc>
      </w:tr>
      <w:tr w:rsidR="0065574E" w:rsidTr="00AA1D65">
        <w:tc>
          <w:tcPr>
            <w:tcW w:w="2694" w:type="dxa"/>
            <w:shd w:val="clear" w:color="auto" w:fill="BDD6EE" w:themeFill="accent1" w:themeFillTint="66"/>
          </w:tcPr>
          <w:p w:rsidR="0065574E" w:rsidRPr="00CC3618" w:rsidRDefault="00CC3618" w:rsidP="00980130">
            <w:pPr>
              <w:rPr>
                <w:b/>
                <w:sz w:val="24"/>
                <w:szCs w:val="24"/>
              </w:rPr>
            </w:pPr>
            <w:r w:rsidRPr="00CC3618">
              <w:rPr>
                <w:b/>
                <w:sz w:val="24"/>
                <w:szCs w:val="24"/>
              </w:rPr>
              <w:t>6. Vérificateur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65574E" w:rsidRPr="00980130" w:rsidRDefault="0065574E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65574E" w:rsidRDefault="0065574E" w:rsidP="00980130">
            <w:pPr>
              <w:jc w:val="center"/>
              <w:rPr>
                <w:sz w:val="28"/>
                <w:szCs w:val="28"/>
              </w:rPr>
            </w:pPr>
          </w:p>
        </w:tc>
      </w:tr>
      <w:tr w:rsidR="0065574E" w:rsidTr="00747615">
        <w:tc>
          <w:tcPr>
            <w:tcW w:w="2694" w:type="dxa"/>
          </w:tcPr>
          <w:p w:rsidR="0065574E" w:rsidRPr="00980130" w:rsidRDefault="00CC3618" w:rsidP="0098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CC3618">
              <w:rPr>
                <w:sz w:val="24"/>
                <w:szCs w:val="24"/>
              </w:rPr>
              <w:t>Rapport du vérificateur</w:t>
            </w:r>
            <w:r w:rsidR="000D1ADC">
              <w:rPr>
                <w:sz w:val="24"/>
                <w:szCs w:val="24"/>
              </w:rPr>
              <w:t xml:space="preserve"> exercice financier 2018-2019</w:t>
            </w:r>
          </w:p>
        </w:tc>
        <w:tc>
          <w:tcPr>
            <w:tcW w:w="4677" w:type="dxa"/>
          </w:tcPr>
          <w:p w:rsidR="0065574E" w:rsidRPr="00980130" w:rsidRDefault="00CC3618" w:rsidP="004A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Gilbert </w:t>
            </w:r>
            <w:proofErr w:type="spellStart"/>
            <w:r>
              <w:rPr>
                <w:sz w:val="24"/>
                <w:szCs w:val="24"/>
              </w:rPr>
              <w:t>Jolin</w:t>
            </w:r>
            <w:proofErr w:type="spellEnd"/>
            <w:r>
              <w:rPr>
                <w:sz w:val="24"/>
                <w:szCs w:val="24"/>
              </w:rPr>
              <w:t xml:space="preserve">, l’examinateur, présente le rapport. </w:t>
            </w:r>
          </w:p>
        </w:tc>
        <w:tc>
          <w:tcPr>
            <w:tcW w:w="1831" w:type="dxa"/>
          </w:tcPr>
          <w:p w:rsidR="0065574E" w:rsidRPr="004A7E5F" w:rsidRDefault="004A7E5F" w:rsidP="00980130">
            <w:pPr>
              <w:jc w:val="center"/>
              <w:rPr>
                <w:sz w:val="24"/>
                <w:szCs w:val="24"/>
              </w:rPr>
            </w:pPr>
            <w:r w:rsidRPr="004A7E5F">
              <w:rPr>
                <w:sz w:val="24"/>
                <w:szCs w:val="24"/>
              </w:rPr>
              <w:t>Dépôt</w:t>
            </w:r>
          </w:p>
        </w:tc>
      </w:tr>
      <w:tr w:rsidR="0065574E" w:rsidTr="00747615">
        <w:tc>
          <w:tcPr>
            <w:tcW w:w="2694" w:type="dxa"/>
          </w:tcPr>
          <w:p w:rsidR="0065574E" w:rsidRPr="00980130" w:rsidRDefault="00CC3618" w:rsidP="000D1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  <w:r w:rsidR="000D1ADC">
              <w:rPr>
                <w:sz w:val="24"/>
                <w:szCs w:val="24"/>
              </w:rPr>
              <w:t>Rapport du vérificateur e</w:t>
            </w:r>
            <w:r w:rsidRPr="00CC3618">
              <w:rPr>
                <w:sz w:val="24"/>
                <w:szCs w:val="24"/>
              </w:rPr>
              <w:t xml:space="preserve">xercice financier </w:t>
            </w:r>
            <w:r w:rsidR="000D1ADC">
              <w:rPr>
                <w:sz w:val="24"/>
                <w:szCs w:val="24"/>
              </w:rPr>
              <w:t>2019-2020</w:t>
            </w:r>
          </w:p>
        </w:tc>
        <w:tc>
          <w:tcPr>
            <w:tcW w:w="4677" w:type="dxa"/>
          </w:tcPr>
          <w:p w:rsidR="0065574E" w:rsidRPr="00980130" w:rsidRDefault="004A7E5F" w:rsidP="004A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Gilbert </w:t>
            </w:r>
            <w:proofErr w:type="spellStart"/>
            <w:r>
              <w:rPr>
                <w:sz w:val="24"/>
                <w:szCs w:val="24"/>
              </w:rPr>
              <w:t>Jolin</w:t>
            </w:r>
            <w:proofErr w:type="spellEnd"/>
            <w:r>
              <w:rPr>
                <w:sz w:val="24"/>
                <w:szCs w:val="24"/>
              </w:rPr>
              <w:t xml:space="preserve">, l’examinateur, présente le rapport. </w:t>
            </w:r>
          </w:p>
        </w:tc>
        <w:tc>
          <w:tcPr>
            <w:tcW w:w="1831" w:type="dxa"/>
          </w:tcPr>
          <w:p w:rsidR="0065574E" w:rsidRPr="004A7E5F" w:rsidRDefault="004A7E5F" w:rsidP="00980130">
            <w:pPr>
              <w:jc w:val="center"/>
              <w:rPr>
                <w:sz w:val="24"/>
                <w:szCs w:val="24"/>
              </w:rPr>
            </w:pPr>
            <w:r w:rsidRPr="004A7E5F">
              <w:rPr>
                <w:sz w:val="24"/>
                <w:szCs w:val="24"/>
              </w:rPr>
              <w:t>Dépôt</w:t>
            </w:r>
          </w:p>
        </w:tc>
      </w:tr>
      <w:tr w:rsidR="00CC3618" w:rsidTr="00AA1D65">
        <w:tc>
          <w:tcPr>
            <w:tcW w:w="2694" w:type="dxa"/>
            <w:shd w:val="clear" w:color="auto" w:fill="BDD6EE" w:themeFill="accent1" w:themeFillTint="66"/>
          </w:tcPr>
          <w:p w:rsidR="00CC3618" w:rsidRPr="000D7D66" w:rsidRDefault="000D7D66" w:rsidP="00980130">
            <w:pPr>
              <w:rPr>
                <w:b/>
                <w:sz w:val="24"/>
                <w:szCs w:val="24"/>
              </w:rPr>
            </w:pPr>
            <w:r w:rsidRPr="000D7D66">
              <w:rPr>
                <w:b/>
                <w:sz w:val="24"/>
                <w:szCs w:val="24"/>
              </w:rPr>
              <w:t xml:space="preserve">7. </w:t>
            </w:r>
            <w:r w:rsidR="000D1ADC">
              <w:rPr>
                <w:b/>
                <w:sz w:val="24"/>
                <w:szCs w:val="24"/>
              </w:rPr>
              <w:t>Vérificateur 2020-2021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CC3618" w:rsidRDefault="00CC3618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CC3618" w:rsidRDefault="00CC3618" w:rsidP="00980130">
            <w:pPr>
              <w:jc w:val="center"/>
              <w:rPr>
                <w:sz w:val="28"/>
                <w:szCs w:val="28"/>
              </w:rPr>
            </w:pPr>
          </w:p>
        </w:tc>
      </w:tr>
      <w:tr w:rsidR="00CC3618" w:rsidTr="00747615">
        <w:tc>
          <w:tcPr>
            <w:tcW w:w="2694" w:type="dxa"/>
          </w:tcPr>
          <w:p w:rsidR="00CC3618" w:rsidRDefault="00CC3618" w:rsidP="0098013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C3618" w:rsidRDefault="000D7D66" w:rsidP="0017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</w:t>
            </w:r>
            <w:r w:rsidR="00170363">
              <w:rPr>
                <w:sz w:val="24"/>
                <w:szCs w:val="24"/>
              </w:rPr>
              <w:t>Lynne Séguin</w:t>
            </w:r>
            <w:r>
              <w:rPr>
                <w:sz w:val="24"/>
                <w:szCs w:val="24"/>
              </w:rPr>
              <w:t xml:space="preserve"> de poursuivre avec Gilbert </w:t>
            </w:r>
            <w:proofErr w:type="spellStart"/>
            <w:r>
              <w:rPr>
                <w:sz w:val="24"/>
                <w:szCs w:val="24"/>
              </w:rPr>
              <w:t>Jolin</w:t>
            </w:r>
            <w:proofErr w:type="spellEnd"/>
            <w:r w:rsidR="00725B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à titre de vérificateur.</w:t>
            </w:r>
          </w:p>
        </w:tc>
        <w:tc>
          <w:tcPr>
            <w:tcW w:w="1831" w:type="dxa"/>
          </w:tcPr>
          <w:p w:rsidR="00CC3618" w:rsidRDefault="00107697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AG-11</w:t>
            </w:r>
            <w:r w:rsidR="000D7D66" w:rsidRPr="0065574E">
              <w:rPr>
                <w:sz w:val="24"/>
                <w:szCs w:val="24"/>
              </w:rPr>
              <w:t>-A-</w:t>
            </w:r>
            <w:r w:rsidR="00AA1D65">
              <w:rPr>
                <w:sz w:val="24"/>
                <w:szCs w:val="24"/>
              </w:rPr>
              <w:t>20-21</w:t>
            </w:r>
          </w:p>
          <w:p w:rsidR="00DE6F8D" w:rsidRDefault="00DE6F8D" w:rsidP="009801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  <w:tr w:rsidR="000F0089" w:rsidTr="00725BB4">
        <w:tc>
          <w:tcPr>
            <w:tcW w:w="2694" w:type="dxa"/>
            <w:shd w:val="clear" w:color="auto" w:fill="BDD6EE" w:themeFill="accent1" w:themeFillTint="66"/>
          </w:tcPr>
          <w:p w:rsidR="000F0089" w:rsidRPr="00240502" w:rsidRDefault="00240502" w:rsidP="00AA1D65">
            <w:pPr>
              <w:rPr>
                <w:b/>
                <w:sz w:val="24"/>
                <w:szCs w:val="24"/>
              </w:rPr>
            </w:pPr>
            <w:r w:rsidRPr="00240502">
              <w:rPr>
                <w:b/>
                <w:sz w:val="24"/>
                <w:szCs w:val="24"/>
              </w:rPr>
              <w:t xml:space="preserve">8. </w:t>
            </w:r>
            <w:r w:rsidR="00AA1D65"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0F0089" w:rsidRDefault="000F0089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0F0089" w:rsidRDefault="000F0089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0F0089" w:rsidTr="00747615">
        <w:tc>
          <w:tcPr>
            <w:tcW w:w="2694" w:type="dxa"/>
          </w:tcPr>
          <w:p w:rsidR="000F0089" w:rsidRDefault="000F0089" w:rsidP="0098013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F0089" w:rsidRDefault="006978CC" w:rsidP="00D60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varia.</w:t>
            </w:r>
          </w:p>
        </w:tc>
        <w:tc>
          <w:tcPr>
            <w:tcW w:w="1831" w:type="dxa"/>
          </w:tcPr>
          <w:p w:rsidR="000F0089" w:rsidRDefault="000F0089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975978" w:rsidTr="00725BB4">
        <w:tc>
          <w:tcPr>
            <w:tcW w:w="2694" w:type="dxa"/>
            <w:shd w:val="clear" w:color="auto" w:fill="BDD6EE" w:themeFill="accent1" w:themeFillTint="66"/>
          </w:tcPr>
          <w:p w:rsidR="00975978" w:rsidRPr="00975978" w:rsidRDefault="00AA1D65" w:rsidP="00980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5978" w:rsidRPr="00975978">
              <w:rPr>
                <w:b/>
                <w:sz w:val="24"/>
                <w:szCs w:val="24"/>
              </w:rPr>
              <w:t>. Levée de l’assemblée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75978" w:rsidRDefault="00975978" w:rsidP="00980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975978" w:rsidRDefault="00975978" w:rsidP="00980130">
            <w:pPr>
              <w:jc w:val="center"/>
              <w:rPr>
                <w:sz w:val="24"/>
                <w:szCs w:val="24"/>
              </w:rPr>
            </w:pPr>
          </w:p>
        </w:tc>
      </w:tr>
      <w:tr w:rsidR="00975978" w:rsidTr="00747615">
        <w:tc>
          <w:tcPr>
            <w:tcW w:w="2694" w:type="dxa"/>
          </w:tcPr>
          <w:p w:rsidR="00975978" w:rsidRDefault="00975978" w:rsidP="0098013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5978" w:rsidRDefault="00975978" w:rsidP="004A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proposé par </w:t>
            </w:r>
            <w:r w:rsidR="004A7E5F">
              <w:rPr>
                <w:sz w:val="24"/>
                <w:szCs w:val="24"/>
              </w:rPr>
              <w:t>Céline Cyr du</w:t>
            </w:r>
            <w:r>
              <w:rPr>
                <w:sz w:val="24"/>
                <w:szCs w:val="24"/>
              </w:rPr>
              <w:t xml:space="preserve"> C</w:t>
            </w:r>
            <w:r w:rsidR="004A7E5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 w:rsidR="004A7E5F">
              <w:rPr>
                <w:sz w:val="24"/>
                <w:szCs w:val="24"/>
              </w:rPr>
              <w:t>PO, de lever l’assemblée à 17h20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975978" w:rsidRDefault="00107697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AG-12</w:t>
            </w:r>
            <w:r w:rsidR="00324A2F" w:rsidRPr="0065574E">
              <w:rPr>
                <w:sz w:val="24"/>
                <w:szCs w:val="24"/>
              </w:rPr>
              <w:t>-A-</w:t>
            </w:r>
            <w:r w:rsidR="00AA1D65">
              <w:rPr>
                <w:sz w:val="24"/>
                <w:szCs w:val="24"/>
              </w:rPr>
              <w:t>20-21</w:t>
            </w:r>
          </w:p>
          <w:p w:rsidR="00DE6F8D" w:rsidRDefault="00DE6F8D" w:rsidP="0098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Adoptée à l’unanimité</w:t>
            </w:r>
          </w:p>
        </w:tc>
      </w:tr>
    </w:tbl>
    <w:p w:rsidR="007E72FB" w:rsidRDefault="00975978" w:rsidP="000D1ADC">
      <w:pPr>
        <w:jc w:val="right"/>
        <w:rPr>
          <w:sz w:val="24"/>
          <w:szCs w:val="24"/>
        </w:rPr>
      </w:pPr>
      <w:r w:rsidRPr="00975978">
        <w:rPr>
          <w:sz w:val="24"/>
          <w:szCs w:val="24"/>
        </w:rPr>
        <w:t>Chantal Laberge, secrétaire</w:t>
      </w:r>
    </w:p>
    <w:p w:rsidR="007E72FB" w:rsidRPr="00975978" w:rsidRDefault="007E72FB" w:rsidP="00975978">
      <w:pPr>
        <w:jc w:val="right"/>
        <w:rPr>
          <w:sz w:val="24"/>
          <w:szCs w:val="24"/>
        </w:rPr>
      </w:pPr>
    </w:p>
    <w:sectPr w:rsidR="007E72FB" w:rsidRPr="009759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2"/>
    <w:rsid w:val="00044807"/>
    <w:rsid w:val="000D1ADC"/>
    <w:rsid w:val="000D648B"/>
    <w:rsid w:val="000D7D66"/>
    <w:rsid w:val="000F0089"/>
    <w:rsid w:val="00107697"/>
    <w:rsid w:val="0014263F"/>
    <w:rsid w:val="00156C2E"/>
    <w:rsid w:val="00170363"/>
    <w:rsid w:val="00173ED7"/>
    <w:rsid w:val="001A4909"/>
    <w:rsid w:val="001C77CA"/>
    <w:rsid w:val="001D4583"/>
    <w:rsid w:val="00240502"/>
    <w:rsid w:val="002F0EF2"/>
    <w:rsid w:val="00324A2F"/>
    <w:rsid w:val="00364CE2"/>
    <w:rsid w:val="00391ED8"/>
    <w:rsid w:val="003A5042"/>
    <w:rsid w:val="003A5F51"/>
    <w:rsid w:val="003C1FA6"/>
    <w:rsid w:val="004A7E5F"/>
    <w:rsid w:val="004F107F"/>
    <w:rsid w:val="00556E49"/>
    <w:rsid w:val="00557D75"/>
    <w:rsid w:val="005753DA"/>
    <w:rsid w:val="005B48E0"/>
    <w:rsid w:val="00615492"/>
    <w:rsid w:val="00623154"/>
    <w:rsid w:val="0065574E"/>
    <w:rsid w:val="006978CC"/>
    <w:rsid w:val="006B75F3"/>
    <w:rsid w:val="00725BB4"/>
    <w:rsid w:val="00747615"/>
    <w:rsid w:val="00775FB1"/>
    <w:rsid w:val="007A7CA4"/>
    <w:rsid w:val="007E72FB"/>
    <w:rsid w:val="0081262F"/>
    <w:rsid w:val="00821880"/>
    <w:rsid w:val="00880E52"/>
    <w:rsid w:val="008D5D18"/>
    <w:rsid w:val="00975978"/>
    <w:rsid w:val="00980130"/>
    <w:rsid w:val="009A111D"/>
    <w:rsid w:val="009E0014"/>
    <w:rsid w:val="00A5022C"/>
    <w:rsid w:val="00A72EA7"/>
    <w:rsid w:val="00AA1D65"/>
    <w:rsid w:val="00B37D24"/>
    <w:rsid w:val="00B42B2D"/>
    <w:rsid w:val="00BF6323"/>
    <w:rsid w:val="00C35D92"/>
    <w:rsid w:val="00C8184D"/>
    <w:rsid w:val="00CB43FC"/>
    <w:rsid w:val="00CC3618"/>
    <w:rsid w:val="00D60F69"/>
    <w:rsid w:val="00D62D4C"/>
    <w:rsid w:val="00DB54E8"/>
    <w:rsid w:val="00DE6F8D"/>
    <w:rsid w:val="00E20508"/>
    <w:rsid w:val="00E47F1B"/>
    <w:rsid w:val="00E77D71"/>
    <w:rsid w:val="00E94739"/>
    <w:rsid w:val="00EA0E07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8714"/>
  <w15:chartTrackingRefBased/>
  <w15:docId w15:val="{8337954F-7DAD-4B7D-A27A-6D6C6966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Geneviève Legault</cp:lastModifiedBy>
  <cp:revision>3</cp:revision>
  <cp:lastPrinted>2020-11-18T20:34:00Z</cp:lastPrinted>
  <dcterms:created xsi:type="dcterms:W3CDTF">2020-11-20T15:12:00Z</dcterms:created>
  <dcterms:modified xsi:type="dcterms:W3CDTF">2021-06-14T22:17:00Z</dcterms:modified>
</cp:coreProperties>
</file>